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744A21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744A21">
      <w:r>
        <w:rPr>
          <w:noProof/>
        </w:rPr>
        <w:pict>
          <v:roundrect id="_x0000_s1047" style="position:absolute;left:0;text-align:left;margin-left:-.85pt;margin-top:24.7pt;width:524.85pt;height:167.3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CD5846" w:rsidRPr="00221BB2" w:rsidRDefault="005D2EDD">
                  <w:pPr>
                    <w:rPr>
                      <w:b/>
                      <w:bCs/>
                      <w:rtl/>
                    </w:rPr>
                  </w:pPr>
                  <w:r w:rsidRPr="00221BB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صغيرتي .قومي بالبحث وجمع الصور عن وسائل الاتصال التي تمكن من التواصل مع الأقارب والأصدقاء مع الاستعانة بأسرتك وسأل</w:t>
                  </w:r>
                  <w:r w:rsidR="00221BB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221BB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هم عن كيفية التواصل قديما وحديثا وكتابة كل اسم وسيلة تحت الصورة مع  مراعية سلامة اللغة العربية والإملاء الصحيح..ثم أبدي لنا رأيك فيها .ثم قراءتها على زميلاتك  </w:t>
                  </w: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>
      <w:pPr>
        <w:rPr>
          <w:rFonts w:hint="cs"/>
        </w:rPr>
      </w:pPr>
    </w:p>
    <w:p w:rsidR="00262AFD" w:rsidRDefault="00262AFD" w:rsidP="00113902">
      <w:pPr>
        <w:rPr>
          <w:rtl/>
        </w:rPr>
      </w:pPr>
    </w:p>
    <w:p w:rsidR="00B2722D" w:rsidRDefault="00744A21" w:rsidP="00113902">
      <w:r>
        <w:rPr>
          <w:noProof/>
        </w:rPr>
        <w:pict>
          <v:roundrect id="_x0000_s1048" style="position:absolute;left:0;text-align:left;margin-left:-.85pt;margin-top:-.35pt;width:514.1pt;height:258.3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 xml:space="preserve">الصياغة السليمة لنص مترابط  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>سلامة اللغة الفصحى وخلوها من الأخطاء الإملائية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 xml:space="preserve">استخدام التراكيب اللغوية المستهدفة في الوحدة بما يناسب سياق النص 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 xml:space="preserve">توظيف علامات الترقيم المناسبة 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 xml:space="preserve">إبداء الرأي عن وسائل المواصلات القديمة  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>الجرأة والثقة</w:t>
                  </w:r>
                </w:p>
                <w:p w:rsidR="005D2EDD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 xml:space="preserve">التعبير الجسدي </w:t>
                  </w:r>
                </w:p>
                <w:p w:rsidR="008C238E" w:rsidRPr="00221BB2" w:rsidRDefault="005D2EDD" w:rsidP="005D2EDD">
                  <w:pPr>
                    <w:pStyle w:val="a4"/>
                    <w:numPr>
                      <w:ilvl w:val="0"/>
                      <w:numId w:val="5"/>
                    </w:numP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</w:pPr>
                  <w:r w:rsidRPr="00221BB2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</w:rPr>
                    <w:t>التنغيم والتلوين الصوتي</w:t>
                  </w: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262AFD" w:rsidRDefault="00262AFD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744A21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A4" w:rsidRDefault="000B7DA4" w:rsidP="00113902">
      <w:pPr>
        <w:spacing w:after="0" w:line="240" w:lineRule="auto"/>
      </w:pPr>
      <w:r>
        <w:separator/>
      </w:r>
    </w:p>
  </w:endnote>
  <w:endnote w:type="continuationSeparator" w:id="1">
    <w:p w:rsidR="000B7DA4" w:rsidRDefault="000B7DA4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A4" w:rsidRDefault="000B7DA4" w:rsidP="00113902">
      <w:pPr>
        <w:spacing w:after="0" w:line="240" w:lineRule="auto"/>
      </w:pPr>
      <w:r>
        <w:separator/>
      </w:r>
    </w:p>
  </w:footnote>
  <w:footnote w:type="continuationSeparator" w:id="1">
    <w:p w:rsidR="000B7DA4" w:rsidRDefault="000B7DA4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870D1"/>
    <w:multiLevelType w:val="hybridMultilevel"/>
    <w:tmpl w:val="7E528A36"/>
    <w:lvl w:ilvl="0" w:tplc="7FFC8EB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B7DA4"/>
    <w:rsid w:val="000F57B0"/>
    <w:rsid w:val="00100CD5"/>
    <w:rsid w:val="00105A3D"/>
    <w:rsid w:val="00113902"/>
    <w:rsid w:val="00221BB2"/>
    <w:rsid w:val="00262AFD"/>
    <w:rsid w:val="0026577B"/>
    <w:rsid w:val="0026655C"/>
    <w:rsid w:val="00282F47"/>
    <w:rsid w:val="002C2173"/>
    <w:rsid w:val="00334587"/>
    <w:rsid w:val="00391102"/>
    <w:rsid w:val="003C0F50"/>
    <w:rsid w:val="003D0B7C"/>
    <w:rsid w:val="00450526"/>
    <w:rsid w:val="00452C9B"/>
    <w:rsid w:val="0045553E"/>
    <w:rsid w:val="0048526E"/>
    <w:rsid w:val="004A49E0"/>
    <w:rsid w:val="004B34BA"/>
    <w:rsid w:val="004D737D"/>
    <w:rsid w:val="00556CBD"/>
    <w:rsid w:val="005D2EDD"/>
    <w:rsid w:val="006D6626"/>
    <w:rsid w:val="0071104B"/>
    <w:rsid w:val="00744A21"/>
    <w:rsid w:val="00791CBB"/>
    <w:rsid w:val="007D2B76"/>
    <w:rsid w:val="00801255"/>
    <w:rsid w:val="00836FD5"/>
    <w:rsid w:val="00840F9A"/>
    <w:rsid w:val="008C238E"/>
    <w:rsid w:val="008C33EC"/>
    <w:rsid w:val="008D15C9"/>
    <w:rsid w:val="00920DC0"/>
    <w:rsid w:val="00930D65"/>
    <w:rsid w:val="009505BA"/>
    <w:rsid w:val="00961003"/>
    <w:rsid w:val="00993074"/>
    <w:rsid w:val="00A0757D"/>
    <w:rsid w:val="00A9486F"/>
    <w:rsid w:val="00B15AED"/>
    <w:rsid w:val="00B2722D"/>
    <w:rsid w:val="00B7716D"/>
    <w:rsid w:val="00B80477"/>
    <w:rsid w:val="00BC0C4C"/>
    <w:rsid w:val="00BE3844"/>
    <w:rsid w:val="00BF67AE"/>
    <w:rsid w:val="00C10BF9"/>
    <w:rsid w:val="00C16AF6"/>
    <w:rsid w:val="00C73D6E"/>
    <w:rsid w:val="00C8287F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A7227"/>
    <w:rsid w:val="00EE70E5"/>
    <w:rsid w:val="00F608CB"/>
    <w:rsid w:val="00F67F5F"/>
    <w:rsid w:val="00F76A1B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37</cp:revision>
  <cp:lastPrinted>2014-04-22T21:09:00Z</cp:lastPrinted>
  <dcterms:created xsi:type="dcterms:W3CDTF">2014-04-22T21:09:00Z</dcterms:created>
  <dcterms:modified xsi:type="dcterms:W3CDTF">2018-01-13T22:30:00Z</dcterms:modified>
</cp:coreProperties>
</file>