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-375919</wp:posOffset>
                </wp:positionH>
                <wp:positionV relativeFrom="paragraph">
                  <wp:posOffset>-181609</wp:posOffset>
                </wp:positionV>
                <wp:extent cx="7345680" cy="1012190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1" rot="21600000">
                          <a:off x="0" y="0"/>
                          <a:ext cx="7345680" cy="10121900"/>
                          <a:chOff x="316" y="406"/>
                          <a:chExt cx="11608" cy="15028"/>
                        </a:xfrm>
                      </wpg:grpSpPr>
                      <wpg:grpSp>
                        <wpg:cNvGrpSpPr/>
                        <wpg:grpSpPr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SpPr/>
                          <wps:spPr>
                            <a:xfrm>
                              <a:off x="339" y="406"/>
                              <a:ext cx="11582" cy="15025"/>
                            </a:xfrm>
                            <a:prstGeom prst="rect"/>
                            <a:ln cap="flat" cmpd="sng" w="12700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446" y="406"/>
                              <a:ext cx="8475" cy="15025"/>
                            </a:xfrm>
                            <a:prstGeom prst="rect"/>
                            <a:solidFill>
                              <a:srgbClr val="737373"/>
                            </a:solidFill>
                            <a:ln cap="flat" cmpd="sng" w="12700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0000" w:rsidDel="00000000" w:rsidP="00000637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 w:val="ar-SA"/>
                                  </w:rPr>
                                </w:pPr>
                                <w:r w:rsidDel="000000-1" w:rsidR="00214656" w:rsidRPr="000000-1"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 w:val="ar-SA"/>
                                  </w:rPr>
                                </w:r>
                              </w:p>
                              <w:p w:rsidR="00000000" w:rsidDel="00000000" w:rsidP="003F213E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 w:val="ar-SA"/>
                                  </w:rPr>
                                </w:pPr>
                                <w:r w:rsidDel="000000-1" w:rsidR="00214656" w:rsidRPr="000000-1"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 w:val="ar-SA"/>
                                  </w:rPr>
                                </w:r>
                              </w:p>
                              <w:p w:rsidR="00000000" w:rsidDel="00000000" w:rsidP="003F213E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 w:val="ar-SA"/>
                                  </w:rPr>
                                </w:pPr>
                                <w:r w:rsidDel="000000-1" w:rsidR="00214656" w:rsidRPr="000000-1"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 w:val="ar-SA"/>
                                  </w:rPr>
                                </w:r>
                              </w:p>
                              <w:p w:rsidR="00000000" w:rsidDel="00000000" w:rsidP="0055578A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c4bc96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214656" w:rsidRPr="03543755">
                                  <w:rPr>
                                    <w:color w:val="c4bc96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 w:val="ar-SA"/>
                                  </w:rPr>
                                  <w:t xml:space="preserve">اختبار معلمي التربية </w:t>
                                </w:r>
                                <w:r w:rsidDel="000000-1" w:rsidR="05592970" w:rsidRPr="000000-1">
                                  <w:rPr>
                                    <w:color w:val="c4bc96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 w:val="ar-SA"/>
                                  </w:rPr>
                                  <w:t>الخاصة</w:t>
                                </w:r>
                                <w:r w:rsidDel="000000-1" w:rsidR="00607429" w:rsidRPr="03543755">
                                  <w:rPr>
                                    <w:color w:val="c4bc96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3F213E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4137278" w:rsidRPr="000000-1"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CC4DEB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d6e3bc"/>
                                    <w:w w:val="100"/>
                                    <w:position w:val="-1"/>
                                    <w:sz w:val="48"/>
                                    <w:szCs w:val="48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214656" w:rsidRPr="03543755">
                                  <w:rPr>
                                    <w:color w:val="d6e3bc"/>
                                    <w:w w:val="100"/>
                                    <w:position w:val="-1"/>
                                    <w:sz w:val="48"/>
                                    <w:szCs w:val="48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/>
                                  </w:rPr>
                                  <w:t>(اختبار الكفايات)</w:t>
                                </w:r>
                              </w:p>
                              <w:p w:rsidR="00000000" w:rsidDel="00000000" w:rsidP="003F213E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214656" w:rsidRPr="000000-1"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3F213E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10898800" w:rsidRPr="000000-1"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3F213E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10898800" w:rsidRPr="000000-1">
                                  <w:rPr>
                                    <w:color w:val="ffffff"/>
                                    <w:w w:val="100"/>
                                    <w:position w:val="-1"/>
                                    <w:sz w:val="80"/>
                                    <w:szCs w:val="80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b w:val="0"/>
                                    <w:bCs w:val="0"/>
                                    <w:color w:val="ffffff"/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607429" w:rsidRPr="00214656">
                                  <w:rPr>
                                    <w:b w:val="1"/>
                                    <w:bCs w:val="1"/>
                                    <w:color w:val="ffffff"/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607429" w:rsidRPr="00607429">
                                  <w:rPr>
                                    <w:color w:val="ffffff"/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pStyle w:val="Normal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607429" w:rsidRPr="000000-1">
                                  <w:rPr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</w:txbxContent>
                          </wps:txbx>
                          <wps:bodyPr/>
                        </wps:wsp>
                        <wpg:grpSp>
                          <wpg:cNvGrpSpPr/>
                          <wpg:grpSpPr>
                            <a:xfrm>
                              <a:off x="321" y="3424"/>
                              <a:ext cx="3125" cy="6069"/>
                              <a:chOff x="654" y="3599"/>
                              <a:chExt cx="2880" cy="5760"/>
                            </a:xfrm>
                          </wpg:grpSpPr>
                          <wps:wsp>
                            <wps:cNvSpPr/>
                            <wps:spPr>
                              <a:xfrm flipH="1" rot="21600000">
                                <a:off x="2094" y="6479"/>
                                <a:ext cx="1440" cy="1440"/>
                              </a:xfrm>
                              <a:prstGeom prst="rect"/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 flipH="1" rot="21600000">
                                <a:off x="2094" y="5039"/>
                                <a:ext cx="1440" cy="1440"/>
                              </a:xfrm>
                              <a:prstGeom prst="rect"/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 flipH="1" rot="21600000">
                                <a:off x="654" y="5039"/>
                                <a:ext cx="1440" cy="1440"/>
                              </a:xfrm>
                              <a:prstGeom prst="rect"/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 flipH="1" rot="21600000">
                                <a:off x="654" y="3599"/>
                                <a:ext cx="1440" cy="1440"/>
                              </a:xfrm>
                              <a:prstGeom prst="rect"/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 flipH="1" rot="21600000">
                                <a:off x="654" y="6479"/>
                                <a:ext cx="1440" cy="1440"/>
                              </a:xfrm>
                              <a:prstGeom prst="rect"/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 flipH="1" rot="21600000">
                                <a:off x="2094" y="7919"/>
                                <a:ext cx="1440" cy="1440"/>
                              </a:xfrm>
                              <a:prstGeom prst="rect"/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SpPr txBox="1"/>
                          <wps:spPr>
                            <a:xfrm flipH="1" rot="21600000">
                              <a:off x="2690" y="406"/>
                              <a:ext cx="1563" cy="1518"/>
                            </a:xfrm>
                            <a:prstGeom prst="rect"/>
                            <a:solidFill>
                              <a:srgbClr val="4F81BD"/>
                            </a:solidFill>
                            <a:ln cap="flat" cmpd="sng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0000" w:rsidDel="00000000" w:rsidP="00CC4DEB" w:rsidRDefault="00000000" w:rsidRPr="00000000">
                                <w:pPr>
                                  <w:pStyle w:val="Normal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w w:val="100"/>
                                    <w:position w:val="-1"/>
                                    <w:sz w:val="48"/>
                                    <w:highlight w:val="none"/>
                                    <w:effect w:val="none"/>
                                    <w:vertAlign w:val="baseline"/>
                                    <w:rtl w:val="0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607429" w:rsidRPr="13389291">
                                  <w:rPr>
                                    <w:w w:val="100"/>
                                    <w:position w:val="-1"/>
                                    <w:sz w:val="48"/>
                                    <w:highlight w:val="none"/>
                                    <w:effect w:val="none"/>
                                    <w:vertAlign w:val="baseline"/>
                                    <w:rtl w:val="1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pStyle w:val="Normal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607429" w:rsidRPr="000000-1">
                                  <w:rPr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GrpSpPr/>
                          <wpg:grpSpPr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SpPr/>
                            <wps:spPr>
                              <a:xfrm flipH="1" rot="21600000">
                                <a:off x="10194" y="11945"/>
                                <a:ext cx="1440" cy="1440"/>
                              </a:xfrm>
                              <a:prstGeom prst="rect"/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 flipH="1" rot="21600000">
                                <a:off x="10194" y="13364"/>
                                <a:ext cx="1440" cy="1440"/>
                              </a:xfrm>
                              <a:prstGeom prst="rect"/>
                              <a:solidFill>
                                <a:srgbClr val="C0504D"/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 flipH="1" rot="21600000">
                                <a:off x="8754" y="13364"/>
                                <a:ext cx="1440" cy="1440"/>
                              </a:xfrm>
                              <a:prstGeom prst="rect"/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cap="flat" cmpd="sng"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3446" y="13758"/>
                              <a:ext cx="7105" cy="1382"/>
                            </a:xfrm>
                            <a:prstGeom prst="rect"/>
                            <a:noFill/>
                            <a:ln cap="flat" cmpd="sng" w="12700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0000" w:rsidDel="00000000" w:rsidP="00275C9F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color w:val="ffffff"/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607429" w:rsidRPr="00607429">
                                  <w:rPr>
                                    <w:color w:val="ffffff"/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275C9F" w:rsidRDefault="00000000" w:rsidRPr="00000000">
                                <w:pPr>
                                  <w:pStyle w:val="NoSpacing"/>
                                  <w:suppressAutoHyphens w:val="1"/>
                                  <w:spacing w:line="1" w:lineRule="atLeast"/>
                                  <w:ind w:left="0" w:right="0" w:leftChars="-1" w:rightChars="0" w:firstLineChars="-1"/>
                                  <w:jc w:val="right"/>
                                  <w:textDirection w:val="btLr"/>
                                  <w:textAlignment w:val="top"/>
                                  <w:outlineLvl w:val="0"/>
                                  <w:rPr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0607429" w:rsidRPr="000000-1">
                                  <w:rPr>
                                    <w:w w:val="100"/>
                                    <w:position w:val="-1"/>
                                    <w:highlight w:val="none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-375919</wp:posOffset>
                </wp:positionH>
                <wp:positionV relativeFrom="paragraph">
                  <wp:posOffset>-181609</wp:posOffset>
                </wp:positionV>
                <wp:extent cx="7345680" cy="101219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5680" cy="1012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96 –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فئات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المعوقين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حظيت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بالرعاية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والاهتمام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المكفوفون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المتخلفون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التوحديون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97-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وافق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مؤتمر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بالأردن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1993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يسمى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بالتوصية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1993/7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بشأن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وتأهيل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بيئاتهم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تأهيل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وإدماجهم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مميزات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وظيفية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مؤهلاتهم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98-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كانت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تسمى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الجهة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المسؤولة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بوزارة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والتعليم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بالمملكة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والسعودية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بـــ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99-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الملموس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والخطط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والاستراتيجيات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المصممة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لتلبية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تربوي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متجانسة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والمهارات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والاهتمامات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منسقة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لمساعدة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أقصى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ممكنة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الفاعلية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الوظيفية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100-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أهداف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إصدار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الكشف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الوسائل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101-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يساهم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اكساب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طلابه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التواصلية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الإطار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المنظم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للعمل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بمعاهد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وبرامج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بالسعودية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التنظيمية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لمعاهد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ميثاق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103-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يمثل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فئات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؟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المعوقون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سمعيا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الموهوبون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104-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والتشخيص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يعتمد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نجاح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تصميم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تلميذ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105-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التشخيص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والتقويم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إعطاء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لظاهرة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106-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والتشخيص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مقننة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ملائمة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لبيئة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وضوح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107 –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تنتهي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والتشخيص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والتشخيص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التقرير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النهائي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108-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فريق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والتشخيص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للتلميذ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والتشخيص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النتائج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109-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بالدمج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إغلاق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النهارية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تقييدا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110-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فوائد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إتاحة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وظيفية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للمعلمين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تنمية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مركزية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111-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أسرهم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مناهج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مناهج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تهيئة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تلقي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التلميذ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مساعدة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جدول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ثابت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يسمى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برنامج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المتجول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غرفة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المصادر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المستشار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113-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الخدمات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المساندة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التأهيل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التأهيل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عيوب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النطق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والكلام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114-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بالتدخل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مجموع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المتخصصة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وأسرته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اكتشاف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دخوله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115-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خطوات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التدخل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التقرير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تشكيل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التدخل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116-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يترتب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تصنيف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المعوقين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سهولة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الحياة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الآباء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والأمهات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لأبائهم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117-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مشكلات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بالمملكة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السعودية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ضعف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التدخل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شرائح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118-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استراتجيات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إشراك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تقصيرهم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قلقهم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ابنهم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إخفاء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119-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يمكن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المساهمة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طريق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النشرات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التوعوية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الندوات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والمحاضرات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مجالس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الآباء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120-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ببناء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السلوك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الإيجابي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المنظم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للاستجابات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المرغوبة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التجاهل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المنظم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للاستجابات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المرغوبة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الإيجابية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وإزالة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المنفرة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121-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لنجاح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تعديل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السلوك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لابد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الظاهر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بوصفه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بنتائجه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التعديل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نظريات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وتعديل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السلوك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الأحدث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الإشراط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الكلاسيكي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الإشراط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الإجرائي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123-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تعديل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السلوك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تعريض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لمثيرات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منفرة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الجسدي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124-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المنهج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يأخذ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خصوصية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تطبيقه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المناهج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للعاديين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125-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بأنها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وصف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للتواصل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والتنسيق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للجهد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يبذله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تلاميذه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المساندة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تقتضيها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التلميذ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تطلبها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لنجاح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126-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للخطة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مراعاة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الظروف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للتلميذ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أقرانهم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التلميذ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ضمان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التلميذ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تلقي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تربوية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احتياجاته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127-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مشاركة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بداية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للتلميذ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3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128-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شهرين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129-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اعتمدت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أنظمة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تقديم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الخدمة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بداياتها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الملاجئ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المدارس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مراكز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النهارية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130-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العالمان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النفسيان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اللذان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بارز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تطوير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خدمات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التشخيص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لجالات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وكسلر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وبينيه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فرويد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وبياجيه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وبافلوف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سكنر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وماسلو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131-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يشير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الأمريكية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الوظيفي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متوسط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الذكاء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بــ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انحراف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معياري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انحراف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معياري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انحرافين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معياريين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انحرافات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معيارية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أنواع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السلوك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التكيفي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الإيجابي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الأنسحابي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والعدواني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التدميري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والعشوائي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التخريبي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والفوضوي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133-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العدوانية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والتمرد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والنمطية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والنشاط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الزائد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المظاهر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134-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استخراج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الذكاء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وفق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المعادلة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× 100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× 100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×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÷ 100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÷ 100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135-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ذكاء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القابلون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تتراوح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30-44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45-49.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50-75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76-85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136-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ترتكز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برامج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القابلين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للتدريب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مجملها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6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الترفيهي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137-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يركز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بياجيه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نظريته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النمائية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والاستجابة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بالنمذجة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بالمحاولة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والخطأ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138-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تعتبر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نظرية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بالتقليد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أكثر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النظريات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ميدان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نظرا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لأهميتها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أشكال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البسيط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توظيف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المعززات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الكثير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أشكال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الجديدة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للمعاقين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139-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عرض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الكرموزمات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يحدث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فترة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الانقسام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الخلوي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الكرموزم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21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22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23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140-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أخطر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مرحلة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يتعرض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الجنيين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لمخاطر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تؤدي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الوسطى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141-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الطرق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للاستدلال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انتشار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الطريقة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العشوائية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الإحصائية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التقديرية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أساليب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الوقاية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الزواج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احتمال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حدوث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للأطفال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طريق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الفحص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143-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لتحديد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الطفل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لخدمات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نستخدم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نوعين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رئيسيين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المقاييس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الأدائية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واللفظية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التكيفي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والجماعية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144-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تعتبر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ادوات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تساهم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تحديد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جوانب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والضعف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الميول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8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145-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pku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الفينيل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كيتونوريا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يصنفها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الجانب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اختلاف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الكروموسومات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التمثيل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الغذائي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متلازمة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146-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تصنف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حالات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الذكاء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فئتين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أربع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خمس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147-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تصنف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وفق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المتغير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السلوكي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التكيفي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التكيفي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148-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تصنف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القابلين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للتعليم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بفئة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البسيطة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المتوسطة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الشديدة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149-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تلاحظ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الطلبة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العاديين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بدرجة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بسيطة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150-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يميل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النمو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الحركي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والبدني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للأطفال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بشكل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اكير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والثبات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الارتفاع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تدريجيا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الانخفاض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البطء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151-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مستوى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للأطفال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مقارنة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بالأطفال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العاديين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مستوى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بكثير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شاسعة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تسمى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المرحلة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تقديم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المعلومة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والتدريب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الاكتساب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153-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الخصائص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الاجتماعية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للأطفال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بــ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المبادأة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علاقات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المواقف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154-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المشاكل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الانفعالية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والسلوكية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للأطفال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الانطواء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نوبات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تشتت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سرعة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الغضب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155-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تتأثر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شخصية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الطفل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سلبيا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نتيجة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إحساسه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بالفروق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خبرات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الفشل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السابقة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التفاعل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لإعاقته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156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أكثر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أنماط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الخدمات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شيوعا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للتلاميذ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داخلية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نهارية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ملحقة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بالمدارس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157-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أولويات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الطفل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الجلوس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والاستماع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مرحلة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التهيئة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المتوسطة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158-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الأكثر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لاكتساب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اليومية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القابلين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بطيئي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القابلين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159-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يأخذ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برامج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مناسبة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للطلاب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الاستقلالية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160-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المرتكزات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لتطوير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المناهج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للطلاب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الوسيلة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161-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أساليب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إتباعها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تعامله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طلابه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أسلوب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التكراري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الترفيهي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162-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أسلوب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تحليل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تدريس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الطلاب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وتدريسها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تجزئة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وتدريسها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بالتسلسل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أبسط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يتقنها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163-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وسيلة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تعليمية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لخدمة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الطلاب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فإن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يلزم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أخذها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احتياج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center"/>
        <w:rPr>
          <w:b w:val="0"/>
          <w:color w:val="943634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943634"/>
          <w:sz w:val="40"/>
          <w:szCs w:val="40"/>
          <w:vertAlign w:val="baseline"/>
          <w:rtl w:val="1"/>
        </w:rPr>
        <w:t xml:space="preserve">انتهت</w:t>
      </w:r>
      <w:r w:rsidDel="00000000" w:rsidR="00000000" w:rsidRPr="00000000">
        <w:rPr>
          <w:b w:val="1"/>
          <w:color w:val="943634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943634"/>
          <w:sz w:val="40"/>
          <w:szCs w:val="40"/>
          <w:vertAlign w:val="baseline"/>
          <w:rtl w:val="1"/>
        </w:rPr>
        <w:t xml:space="preserve">الأسئلة</w:t>
      </w:r>
      <w:r w:rsidDel="00000000" w:rsidR="00000000" w:rsidRPr="00000000">
        <w:rPr>
          <w:b w:val="1"/>
          <w:color w:val="943634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943634"/>
          <w:sz w:val="40"/>
          <w:szCs w:val="4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720" w:top="720" w:left="720" w:right="72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153"/>
        <w:tab w:val="right" w:pos="8306"/>
      </w:tabs>
      <w:bidi w:val="1"/>
      <w:spacing w:after="0" w:before="708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اختبار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الكفايات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الأساسية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لمعلمي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التربية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الخاصة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–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التربية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الفكرية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النموذج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[2]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صفحة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1"/>
      </w:rPr>
      <w:t xml:space="preserve">  [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]</w:t>
    </w:r>
  </w:p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-285749</wp:posOffset>
              </wp:positionH>
              <wp:positionV relativeFrom="paragraph">
                <wp:posOffset>46355</wp:posOffset>
              </wp:positionV>
              <wp:extent cx="6448425" cy="1270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44842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-285749</wp:posOffset>
              </wp:positionH>
              <wp:positionV relativeFrom="paragraph">
                <wp:posOffset>46355</wp:posOffset>
              </wp:positionV>
              <wp:extent cx="6448425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lvl w:ilvl="0">
      <w:start w:val="8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lvl w:ilvl="0">
      <w:start w:val="5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>
    <w:lvl w:ilvl="0">
      <w:start w:val="8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lvl w:ilvl="0">
      <w:start w:val="5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">
    <w:lvl w:ilvl="0">
      <w:start w:val="8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8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9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1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5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7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8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9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0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1">
    <w:lvl w:ilvl="0">
      <w:start w:val="8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3">
    <w:lvl w:ilvl="0">
      <w:start w:val="5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5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8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9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0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1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3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5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7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8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9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0">
    <w:lvl w:ilvl="0">
      <w:start w:val="5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1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2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3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4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5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6"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bidi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bidi w:val="1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bidi w:val="1"/>
      <w:spacing w:after="0" w:before="48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yperlink">
    <w:name w:val="Hyperlink"/>
    <w:basedOn w:val="DefaultParagraphFont"/>
    <w:next w:val="Hyperlink"/>
    <w:autoRedefine w:val="0"/>
    <w:hidden w:val="0"/>
    <w:qFormat w:val="1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character" w:styleId="Heading1Char">
    <w:name w:val="Heading 1 Char"/>
    <w:basedOn w:val="DefaultParagraphFont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highlight w:val="non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basedOn w:val="DefaultParagraphFont"/>
    <w:next w:val="NoSpacingChar"/>
    <w:autoRedefine w:val="0"/>
    <w:hidden w:val="0"/>
    <w:qFormat w:val="0"/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bidi w:val="1"/>
      <w:spacing w:after="200" w:line="276" w:lineRule="auto"/>
      <w:ind w:left="720" w:right="720" w:leftChars="-1" w:rightChars="0" w:firstLineChars="-1"/>
      <w:contextualSpacing w:val="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