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2263"/>
        </w:tabs>
        <w:bidi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63500</wp:posOffset>
                </wp:positionV>
                <wp:extent cx="4821555" cy="44259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39985" y="3563465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توزيع المحتوى الدراسي على الأسابيع في الفصل الدراسي الثاني للعام الدراسي 1444هـ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63500</wp:posOffset>
                </wp:positionV>
                <wp:extent cx="4821555" cy="44259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555" cy="442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pos="8383"/>
        </w:tabs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8383"/>
        </w:tabs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383"/>
        </w:tabs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3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1843"/>
        <w:gridCol w:w="864"/>
        <w:gridCol w:w="2268"/>
        <w:gridCol w:w="810"/>
        <w:gridCol w:w="1996"/>
        <w:gridCol w:w="7"/>
        <w:tblGridChange w:id="0">
          <w:tblGrid>
            <w:gridCol w:w="2842"/>
            <w:gridCol w:w="1843"/>
            <w:gridCol w:w="864"/>
            <w:gridCol w:w="2268"/>
            <w:gridCol w:w="810"/>
            <w:gridCol w:w="1996"/>
            <w:gridCol w:w="7"/>
          </w:tblGrid>
        </w:tblGridChange>
      </w:tblGrid>
      <w:tr>
        <w:trPr>
          <w:cantSplit w:val="0"/>
          <w:trHeight w:val="285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الثانوية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_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المشتركة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المهنية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gridSpan w:val="5"/>
            <w:shd w:fill="daeef3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ثقافة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العمل</w:t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المهنية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المنظور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الإسلامي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وأخلاقيات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العمل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رؤية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2030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والاستثمار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البشري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للشباب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رؤية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2030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البشري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للشباب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رؤية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2030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العمل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أنماط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الوظيفي</w:t>
            </w:r>
          </w:p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الميول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المهنية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الميول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الوظيفي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الذات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التفاوض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التفاوض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الوظيفية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الوظيفية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الفريق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السيرة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الذاتية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B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اجتياز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الشخصية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وأهميتها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المقابلات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وظيفة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وظيفة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وظيفة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الثالثة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70c0"/>
                <w:sz w:val="28"/>
                <w:szCs w:val="28"/>
                <w:rtl w:val="1"/>
              </w:rPr>
              <w:t xml:space="preserve">المهني</w:t>
            </w:r>
          </w:p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المستقبل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وظائف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الحر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الحر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المرن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72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الصغيرة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538135"/>
                <w:sz w:val="28"/>
                <w:szCs w:val="28"/>
                <w:rtl w:val="1"/>
              </w:rPr>
              <w:t xml:space="preserve">الاحترافية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والشهادات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الاحترافية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مزايا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الاحترافية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للموظف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1">
      <w:pPr>
        <w:tabs>
          <w:tab w:val="left" w:pos="8383"/>
        </w:tabs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pos="8383"/>
        </w:tabs>
        <w:bidi w:val="1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2397125" cy="72199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47425" y="3419000"/>
                          <a:ext cx="2397125" cy="721995"/>
                          <a:chOff x="4147425" y="3419000"/>
                          <a:chExt cx="2397150" cy="722000"/>
                        </a:xfrm>
                      </wpg:grpSpPr>
                      <wpg:grpSp>
                        <wpg:cNvGrpSpPr/>
                        <wpg:grpSpPr>
                          <a:xfrm>
                            <a:off x="4147438" y="3419003"/>
                            <a:ext cx="2397125" cy="721995"/>
                            <a:chOff x="0" y="0"/>
                            <a:chExt cx="2397418" cy="72229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7400" cy="72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397418" cy="722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مشرفة عموم العلوم الإدارية/ خديجة فلاته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2397125" cy="72199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125" cy="721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paragraph" w:styleId="a4">
    <w:name w:val="List Paragraph"/>
    <w:basedOn w:val="a"/>
    <w:uiPriority w:val="34"/>
    <w:qFormat w:val="1"/>
    <w:rsid w:val="00CB4743"/>
    <w:pPr>
      <w:ind w:left="720"/>
      <w:contextualSpacing w:val="1"/>
    </w:pPr>
  </w:style>
  <w:style w:type="paragraph" w:styleId="a5">
    <w:name w:val="Balloon Text"/>
    <w:basedOn w:val="a"/>
    <w:link w:val="Char0"/>
    <w:uiPriority w:val="99"/>
    <w:semiHidden w:val="1"/>
    <w:unhideWhenUsed w:val="1"/>
    <w:rsid w:val="001F4CF0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Char0" w:customStyle="1">
    <w:name w:val="نص في بالون Char"/>
    <w:basedOn w:val="a0"/>
    <w:link w:val="a5"/>
    <w:uiPriority w:val="99"/>
    <w:semiHidden w:val="1"/>
    <w:rsid w:val="001F4CF0"/>
    <w:rPr>
      <w:rFonts w:ascii="Tahoma" w:cs="Tahoma" w:hAnsi="Tahom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rh+ypoGlU6kSxoUHQKQZwe9/pQ==">AMUW2mXO9Ds4mzrNywAkdCFp5DaeZGfE5VhO3h/YJb0MgYXYZk6DycRBxa2Cxd5PwV9rKJe5mSD2HPFSrhWnA5cgxPaO617vszg/yQj/7S5Nw3ArqdkaDUbS/ijCXNI4UJ3rV07URa4YhFi3j8RggjE0clYumlba1eADIBIk5E0SaPfgS8it4hs=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2022-09-27T14:16:00Z</dcterms:created>
  <dc:creator>Amal Yahia I. Al-Juhami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0x010100EFB95C671E4C4B46A4F34FB044592333</vt:lpwstr>
  </property>
</Properties>
</file>